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90" w:rsidRDefault="00572D9A">
      <w:pPr>
        <w:pStyle w:val="ListParagraph"/>
        <w:numPr>
          <w:ilvl w:val="0"/>
          <w:numId w:val="5"/>
        </w:numPr>
        <w:spacing w:line="360" w:lineRule="auto"/>
        <w:jc w:val="both"/>
        <w:rPr>
          <w:rFonts w:ascii="Calibri" w:hAnsi="Calibri"/>
          <w:b/>
          <w:bCs/>
        </w:rPr>
      </w:pPr>
      <w:bookmarkStart w:id="0" w:name="_GoBack"/>
      <w:bookmarkEnd w:id="0"/>
      <w:r>
        <w:rPr>
          <w:rFonts w:ascii="Calibri" w:hAnsi="Calibri"/>
          <w:b/>
          <w:bCs/>
        </w:rPr>
        <w:t>ΟΡΙΑ ΗΛΙΚΙΑΣ</w:t>
      </w:r>
    </w:p>
    <w:p w:rsidR="00076690" w:rsidRPr="005C01FC" w:rsidRDefault="00572D9A">
      <w:pPr>
        <w:pStyle w:val="Standard"/>
        <w:spacing w:line="360" w:lineRule="auto"/>
        <w:jc w:val="both"/>
        <w:rPr>
          <w:rFonts w:ascii="Calibri" w:hAnsi="Calibri"/>
          <w:lang w:val="el-GR"/>
        </w:rPr>
      </w:pPr>
      <w:r w:rsidRPr="005C01FC">
        <w:rPr>
          <w:rFonts w:ascii="Calibri" w:hAnsi="Calibri"/>
          <w:lang w:val="el-GR"/>
        </w:rPr>
        <w:tab/>
        <w:t xml:space="preserve">Με τον Ν. 4336/2015 (ΦΕΚ 94/14.8.2015) «Συνταξιοδοτικές διατάξεις − Κύρωση του Σχεδίου Σύμβασης Οικονομικής Ενίσχυσης από τον Ευρωπαϊκό Μηχανισμό Σταθερότητας και </w:t>
      </w:r>
      <w:r w:rsidRPr="005C01FC">
        <w:rPr>
          <w:rFonts w:ascii="Calibri" w:hAnsi="Calibri"/>
          <w:lang w:val="el-GR"/>
        </w:rPr>
        <w:t>ρυθμίσεις για την υλοποίηση της Συμφωνίας Χρηματοδότησης» θεσπίζεται μια σειρά αλλαγών στις συνταξιοδοτικές διατάξεις των ασφαλισμένων στο Δημόσιο.</w:t>
      </w:r>
    </w:p>
    <w:p w:rsidR="00076690" w:rsidRPr="005C01FC" w:rsidRDefault="00572D9A">
      <w:pPr>
        <w:pStyle w:val="Standard"/>
        <w:spacing w:line="360" w:lineRule="auto"/>
        <w:jc w:val="both"/>
        <w:rPr>
          <w:lang w:val="el-GR"/>
        </w:rPr>
      </w:pPr>
      <w:r w:rsidRPr="005C01FC">
        <w:rPr>
          <w:rFonts w:ascii="Calibri" w:hAnsi="Calibri"/>
          <w:lang w:val="el-GR"/>
        </w:rPr>
        <w:tab/>
        <w:t>Σε γενικές γραμμές με τον νόμο αυτό καθιερώνεται σταδιακή κατάργηση μέχρι το 2022 των ευνοϊκών ορίων ηλικί</w:t>
      </w:r>
      <w:r w:rsidRPr="005C01FC">
        <w:rPr>
          <w:rFonts w:ascii="Calibri" w:hAnsi="Calibri"/>
          <w:lang w:val="el-GR"/>
        </w:rPr>
        <w:t>ας συνταξιοδότησης που είχαν διατηρηθεί με τον Ν. 3865/2010. Πρόκειται για τα ευνοϊκά όρια ηλικίας συνταξιοδότησης των ασφαλισμένων του Δημοσίου οι οποίοι είχαν συμπληρώσει μέχρι το 2012 τον απαιτούμενο χρόνο ασφάλισης, κατά βάση δηλαδή την 25ετία.</w:t>
      </w:r>
      <w:r>
        <w:rPr>
          <w:rStyle w:val="FootnoteReference"/>
        </w:rPr>
        <w:footnoteReference w:id="1"/>
      </w:r>
      <w:r w:rsidRPr="005C01FC">
        <w:rPr>
          <w:rFonts w:ascii="Calibri" w:hAnsi="Calibri"/>
          <w:lang w:val="el-GR"/>
        </w:rPr>
        <w:t xml:space="preserve"> Όπως είναι γνωστό, οι ασφαλισμένοι αυτοί είχαν τη δυνατότητα να συνταξιοδοτηθούν με ευνοϊκότερα όρια ηλικίας από τα γενικά όρια που ισχύουν για όσους συν</w:t>
      </w:r>
      <w:r w:rsidRPr="005C01FC">
        <w:rPr>
          <w:rFonts w:ascii="Calibri" w:hAnsi="Calibri"/>
          <w:lang w:val="el-GR"/>
        </w:rPr>
        <w:t>ταξιοδοτούνται με προϋποθέσεις του 2013 και μετά. Όμως, από 1/1/2022 θα ισχύσουν και για τους ασφαλισμένους αυτούς τα γενικά όρια ηλικίας (δηλαδή πλήρη σύνταξη στα 67 έτη ή στα 62 έτη με 40 έτη ασφάλισης).</w:t>
      </w:r>
    </w:p>
    <w:p w:rsidR="00076690" w:rsidRPr="005C01FC" w:rsidRDefault="00572D9A">
      <w:pPr>
        <w:pStyle w:val="Standard"/>
        <w:spacing w:line="360" w:lineRule="auto"/>
        <w:jc w:val="both"/>
        <w:rPr>
          <w:rFonts w:ascii="Calibri" w:hAnsi="Calibri"/>
          <w:lang w:val="el-GR"/>
        </w:rPr>
      </w:pPr>
      <w:r w:rsidRPr="005C01FC">
        <w:rPr>
          <w:rFonts w:ascii="Calibri" w:hAnsi="Calibri"/>
          <w:lang w:val="el-GR"/>
        </w:rPr>
        <w:tab/>
        <w:t xml:space="preserve">Με τον νέο Νόμο τα ισχύοντα μέχρι τη δημοσίευσή </w:t>
      </w:r>
      <w:r w:rsidRPr="005C01FC">
        <w:rPr>
          <w:rFonts w:ascii="Calibri" w:hAnsi="Calibri"/>
          <w:lang w:val="el-GR"/>
        </w:rPr>
        <w:t>του (14/8/2015) όρια ηλικίας καταβολής της σύνταξης αυξάνονται σταδιακά από την επομένη της δημοσίευσης έως την 31/12/2021. Τα νέα όρια ηλικίας αποτυπώνονται στους πίνακες του νόμου, τους οποίους παραθέτουμε στη συνέχεια (Πίνακας 1 και Πίνακας 2). Η σύνταξ</w:t>
      </w:r>
      <w:r w:rsidRPr="005C01FC">
        <w:rPr>
          <w:rFonts w:ascii="Calibri" w:hAnsi="Calibri"/>
          <w:lang w:val="el-GR"/>
        </w:rPr>
        <w:t>η καταβάλλεται με τη συμπλήρωση του νέου ορίου ηλικίας, όπως αυτό ισχύει κατά το έτος που ο υπάλληλος συμπληρώνει το όριο ηλικίας καταβολής ακέραιας της σύνταξής του, το οποίο ίσχυε στην περίπτωσή του.</w:t>
      </w:r>
    </w:p>
    <w:p w:rsidR="00076690" w:rsidRPr="005C01FC" w:rsidRDefault="00572D9A">
      <w:pPr>
        <w:pStyle w:val="Standard"/>
        <w:spacing w:line="360" w:lineRule="auto"/>
        <w:jc w:val="both"/>
        <w:rPr>
          <w:rFonts w:ascii="Calibri" w:hAnsi="Calibri"/>
          <w:lang w:val="el-GR"/>
        </w:rPr>
      </w:pPr>
      <w:r w:rsidRPr="005C01FC">
        <w:rPr>
          <w:rFonts w:ascii="Calibri" w:hAnsi="Calibri"/>
          <w:lang w:val="el-GR"/>
        </w:rPr>
        <w:tab/>
        <w:t>Στις περιπτώσεις που από τις ισχύουσες συνταξιοδοτικ</w:t>
      </w:r>
      <w:r w:rsidRPr="005C01FC">
        <w:rPr>
          <w:rFonts w:ascii="Calibri" w:hAnsi="Calibri"/>
          <w:lang w:val="el-GR"/>
        </w:rPr>
        <w:t>ές διατάξεις η σύνταξη καταβάλλεται ανεξαρτήτως ορίου ηλικίας με τη συμπλήρωση 35 ετών ασφάλισης, η σταδιακή αύξηση των ορίων ηλικίας συνταξιοδότησης αρχίζει με όριο ηλικίας το 58ο έτος. Σε κάθε άλλη περίπτωση που η σύνταξη καταβάλλεται ανεξαρτήτως ορίου η</w:t>
      </w:r>
      <w:r w:rsidRPr="005C01FC">
        <w:rPr>
          <w:rFonts w:ascii="Calibri" w:hAnsi="Calibri"/>
          <w:lang w:val="el-GR"/>
        </w:rPr>
        <w:t>λικίας, η προαναφερόμενη σταδιακή αύξηση αρχίζει με τη συμπλήρωση του 55ου έτους.</w:t>
      </w:r>
    </w:p>
    <w:p w:rsidR="00076690" w:rsidRPr="005C01FC" w:rsidRDefault="00572D9A">
      <w:pPr>
        <w:pStyle w:val="Standard"/>
        <w:spacing w:line="360" w:lineRule="auto"/>
        <w:jc w:val="both"/>
        <w:rPr>
          <w:rFonts w:ascii="Calibri" w:hAnsi="Calibri"/>
          <w:lang w:val="el-GR"/>
        </w:rPr>
      </w:pPr>
      <w:r w:rsidRPr="005C01FC">
        <w:rPr>
          <w:rFonts w:ascii="Calibri" w:hAnsi="Calibri"/>
          <w:lang w:val="el-GR"/>
        </w:rPr>
        <w:tab/>
        <w:t>Οι διατάξεις για τις αλλαγές των ορίων ηλικίας δεν έχουν εφαρμογή:</w:t>
      </w:r>
    </w:p>
    <w:p w:rsidR="00076690" w:rsidRPr="005C01FC" w:rsidRDefault="00572D9A">
      <w:pPr>
        <w:pStyle w:val="ListParagraph"/>
        <w:numPr>
          <w:ilvl w:val="0"/>
          <w:numId w:val="6"/>
        </w:numPr>
        <w:spacing w:line="360" w:lineRule="auto"/>
        <w:jc w:val="both"/>
        <w:rPr>
          <w:rFonts w:ascii="Calibri" w:hAnsi="Calibri"/>
          <w:lang w:val="el-GR"/>
        </w:rPr>
      </w:pPr>
      <w:r w:rsidRPr="005C01FC">
        <w:rPr>
          <w:rFonts w:ascii="Calibri" w:hAnsi="Calibri"/>
          <w:lang w:val="el-GR"/>
        </w:rPr>
        <w:t xml:space="preserve">Για όσους κατά την ημερομηνία δημοσίευσης του νόμου αυτού έχουν συμπληρώσει τα έτη ασφάλισης και το όριο </w:t>
      </w:r>
      <w:r w:rsidRPr="005C01FC">
        <w:rPr>
          <w:rFonts w:ascii="Calibri" w:hAnsi="Calibri"/>
          <w:lang w:val="el-GR"/>
        </w:rPr>
        <w:t>ηλικίας που απαιτείται για την άμεσηκαταβολή ακέραιας της σύνταξής τους. Το δικαίωμα άμεσης συνταξιοδότησης των προσώπων αυτών δεν θίγεται και μπορεί να ασκηθεί οποτεδήποτε.</w:t>
      </w:r>
    </w:p>
    <w:p w:rsidR="00076690" w:rsidRPr="005C01FC" w:rsidRDefault="00572D9A">
      <w:pPr>
        <w:pStyle w:val="ListParagraph"/>
        <w:numPr>
          <w:ilvl w:val="0"/>
          <w:numId w:val="2"/>
        </w:numPr>
        <w:spacing w:line="360" w:lineRule="auto"/>
        <w:jc w:val="both"/>
        <w:rPr>
          <w:rFonts w:ascii="Calibri" w:hAnsi="Calibri"/>
          <w:lang w:val="el-GR"/>
        </w:rPr>
      </w:pPr>
      <w:r w:rsidRPr="005C01FC">
        <w:rPr>
          <w:rFonts w:ascii="Calibri" w:hAnsi="Calibri"/>
          <w:lang w:val="el-GR"/>
        </w:rPr>
        <w:t xml:space="preserve">Για όσους έχουν παιδί άγαμο και ανίκανο για την άσκηση κάθε βιοποριστικού </w:t>
      </w:r>
      <w:r w:rsidRPr="005C01FC">
        <w:rPr>
          <w:rFonts w:ascii="Calibri" w:hAnsi="Calibri"/>
          <w:lang w:val="el-GR"/>
        </w:rPr>
        <w:lastRenderedPageBreak/>
        <w:t>επαγγέλ</w:t>
      </w:r>
      <w:r w:rsidRPr="005C01FC">
        <w:rPr>
          <w:rFonts w:ascii="Calibri" w:hAnsi="Calibri"/>
          <w:lang w:val="el-GR"/>
        </w:rPr>
        <w:t>ματος κατά ποσοστό 67% και άνω. Στην περίπτωση αυτή το σχετικό δικαίωμα μπορεί να ασκηθεί μόνο από τον έναν γονέα κατόπιν συναίνεσης και του άλλου γονέα.</w:t>
      </w:r>
    </w:p>
    <w:p w:rsidR="00076690" w:rsidRPr="005C01FC" w:rsidRDefault="00572D9A">
      <w:pPr>
        <w:pStyle w:val="ListParagraph"/>
        <w:numPr>
          <w:ilvl w:val="0"/>
          <w:numId w:val="2"/>
        </w:numPr>
        <w:spacing w:line="360" w:lineRule="auto"/>
        <w:jc w:val="both"/>
        <w:rPr>
          <w:rFonts w:ascii="Calibri" w:hAnsi="Calibri"/>
          <w:lang w:val="el-GR"/>
        </w:rPr>
      </w:pPr>
      <w:r w:rsidRPr="005C01FC">
        <w:rPr>
          <w:rFonts w:ascii="Calibri" w:hAnsi="Calibri"/>
          <w:lang w:val="el-GR"/>
        </w:rPr>
        <w:t xml:space="preserve"> Για το μόνιμο προσωπικό των ΟΤΑ που απασχολούνται στη συγκομιδή των απορριμμάτων.</w:t>
      </w:r>
    </w:p>
    <w:p w:rsidR="00076690" w:rsidRDefault="00572D9A">
      <w:pPr>
        <w:pStyle w:val="ListParagraph"/>
        <w:numPr>
          <w:ilvl w:val="0"/>
          <w:numId w:val="2"/>
        </w:numPr>
        <w:spacing w:line="360" w:lineRule="auto"/>
        <w:jc w:val="both"/>
      </w:pPr>
      <w:proofErr w:type="spellStart"/>
      <w:r>
        <w:rPr>
          <w:rFonts w:ascii="Calibri" w:hAnsi="Calibri"/>
        </w:rPr>
        <w:t>Γι</w:t>
      </w:r>
      <w:proofErr w:type="spellEnd"/>
      <w:r>
        <w:rPr>
          <w:rFonts w:ascii="Calibri" w:hAnsi="Calibri"/>
        </w:rPr>
        <w:t xml:space="preserve">α </w:t>
      </w:r>
      <w:proofErr w:type="spellStart"/>
      <w:r>
        <w:rPr>
          <w:rFonts w:ascii="Calibri" w:hAnsi="Calibri"/>
        </w:rPr>
        <w:t>ειδικές</w:t>
      </w:r>
      <w:proofErr w:type="spellEnd"/>
      <w:r>
        <w:rPr>
          <w:rFonts w:ascii="Calibri" w:hAnsi="Calibri"/>
        </w:rPr>
        <w:t xml:space="preserve"> π</w:t>
      </w:r>
      <w:proofErr w:type="spellStart"/>
      <w:r>
        <w:rPr>
          <w:rFonts w:ascii="Calibri" w:hAnsi="Calibri"/>
        </w:rPr>
        <w:t>ερι</w:t>
      </w:r>
      <w:proofErr w:type="spellEnd"/>
      <w:r>
        <w:rPr>
          <w:rFonts w:ascii="Calibri" w:hAnsi="Calibri"/>
        </w:rPr>
        <w:t>πτώ</w:t>
      </w:r>
      <w:r>
        <w:rPr>
          <w:rFonts w:ascii="Calibri" w:hAnsi="Calibri"/>
        </w:rPr>
        <w:t>σεις υπα</w:t>
      </w:r>
      <w:proofErr w:type="spellStart"/>
      <w:r>
        <w:rPr>
          <w:rFonts w:ascii="Calibri" w:hAnsi="Calibri"/>
        </w:rPr>
        <w:t>λλήλων</w:t>
      </w:r>
      <w:proofErr w:type="spellEnd"/>
      <w:r>
        <w:rPr>
          <w:rFonts w:ascii="Calibri" w:hAnsi="Calibri"/>
        </w:rPr>
        <w:t xml:space="preserve">. </w:t>
      </w:r>
      <w:r>
        <w:rPr>
          <w:rStyle w:val="FootnoteReference"/>
        </w:rPr>
        <w:footnoteReference w:id="2"/>
      </w:r>
    </w:p>
    <w:p w:rsidR="00076690" w:rsidRDefault="00076690">
      <w:pPr>
        <w:pStyle w:val="Standard"/>
        <w:spacing w:line="360" w:lineRule="auto"/>
        <w:jc w:val="both"/>
        <w:rPr>
          <w:rFonts w:ascii="Calibri" w:hAnsi="Calibri"/>
        </w:rPr>
      </w:pPr>
    </w:p>
    <w:p w:rsidR="00076690" w:rsidRDefault="00572D9A">
      <w:pPr>
        <w:pStyle w:val="ListParagraph"/>
        <w:numPr>
          <w:ilvl w:val="0"/>
          <w:numId w:val="7"/>
        </w:numPr>
        <w:spacing w:line="360" w:lineRule="auto"/>
        <w:jc w:val="both"/>
        <w:rPr>
          <w:rFonts w:ascii="Calibri" w:hAnsi="Calibri"/>
          <w:b/>
          <w:bCs/>
        </w:rPr>
      </w:pPr>
      <w:r>
        <w:rPr>
          <w:rFonts w:ascii="Calibri" w:hAnsi="Calibri"/>
          <w:b/>
          <w:bCs/>
        </w:rPr>
        <w:t>ΥΠΟΛΟΓΙΣΜΟΣ ΣΥΝΤΑΞΗΣ</w:t>
      </w:r>
    </w:p>
    <w:p w:rsidR="00076690" w:rsidRPr="005C01FC" w:rsidRDefault="00572D9A">
      <w:pPr>
        <w:pStyle w:val="Standard"/>
        <w:spacing w:line="360" w:lineRule="auto"/>
        <w:jc w:val="both"/>
        <w:rPr>
          <w:lang w:val="el-GR"/>
        </w:rPr>
      </w:pPr>
      <w:r w:rsidRPr="005C01FC">
        <w:rPr>
          <w:rFonts w:ascii="Calibri" w:hAnsi="Calibri"/>
          <w:lang w:val="el-GR"/>
        </w:rPr>
        <w:tab/>
        <w:t xml:space="preserve">Με τις διατάξεις του νέου </w:t>
      </w:r>
      <w:proofErr w:type="spellStart"/>
      <w:r>
        <w:rPr>
          <w:rFonts w:ascii="Calibri" w:hAnsi="Calibri"/>
        </w:rPr>
        <w:t>N</w:t>
      </w:r>
      <w:proofErr w:type="spellEnd"/>
      <w:r w:rsidRPr="005C01FC">
        <w:rPr>
          <w:rFonts w:ascii="Calibri" w:hAnsi="Calibri"/>
          <w:lang w:val="el-GR"/>
        </w:rPr>
        <w:t>όμου υπήρξαν σημαντικές αλλαγές αναφορικά με τον υπολογισμό της σύνταξης, οι κυριότερες από τις οποίες συνοψίζονται στη συνέχεια:</w:t>
      </w:r>
    </w:p>
    <w:p w:rsidR="00076690" w:rsidRPr="005C01FC" w:rsidRDefault="00076690">
      <w:pPr>
        <w:pStyle w:val="Standard"/>
        <w:spacing w:line="360" w:lineRule="auto"/>
        <w:jc w:val="both"/>
        <w:rPr>
          <w:lang w:val="el-GR"/>
        </w:rPr>
      </w:pPr>
    </w:p>
    <w:p w:rsidR="00076690" w:rsidRPr="005C01FC" w:rsidRDefault="00572D9A">
      <w:pPr>
        <w:pStyle w:val="Standard"/>
        <w:spacing w:line="360" w:lineRule="auto"/>
        <w:jc w:val="both"/>
        <w:rPr>
          <w:lang w:val="el-GR"/>
        </w:rPr>
      </w:pPr>
      <w:r w:rsidRPr="005C01FC">
        <w:rPr>
          <w:rFonts w:ascii="Calibri" w:hAnsi="Calibri"/>
          <w:b/>
          <w:bCs/>
          <w:lang w:val="el-GR"/>
        </w:rPr>
        <w:t>1.</w:t>
      </w:r>
      <w:r w:rsidRPr="005C01FC">
        <w:rPr>
          <w:rFonts w:ascii="Calibri" w:hAnsi="Calibri"/>
          <w:lang w:val="el-GR"/>
        </w:rPr>
        <w:t xml:space="preserve"> Οι αλλαγές στον τρόπο υπολογισμού της σύνταξης Ν. 3865/2010, οι οποίες ίσχυαν για όσους θεμελιώνουν δικαίωμα σύνταξης από το 2015 και μετά (τμήμα σύνταξης για το διάστημα μέχρι 2010 και τμήμα σύνταξης για το διάστημα 2011 και μετά), εφαρμόζονται πλέον για</w:t>
      </w:r>
      <w:r w:rsidRPr="005C01FC">
        <w:rPr>
          <w:rFonts w:ascii="Calibri" w:hAnsi="Calibri"/>
          <w:lang w:val="el-GR"/>
        </w:rPr>
        <w:t xml:space="preserve"> όσους έχουν αποχωρήσει ή αποχωρούν από την υπηρεσία από 30/08/2015 και μετά. Συντάξεις που έχουν κανονιστεί αντίθετα αναπροσαρμόζονται.</w:t>
      </w:r>
    </w:p>
    <w:p w:rsidR="00076690" w:rsidRPr="005C01FC" w:rsidRDefault="00572D9A">
      <w:pPr>
        <w:pStyle w:val="Standard"/>
        <w:spacing w:line="360" w:lineRule="auto"/>
        <w:jc w:val="both"/>
        <w:rPr>
          <w:lang w:val="el-GR"/>
        </w:rPr>
      </w:pPr>
      <w:r w:rsidRPr="005C01FC">
        <w:rPr>
          <w:rFonts w:ascii="Calibri" w:hAnsi="Calibri"/>
          <w:b/>
          <w:bCs/>
          <w:lang w:val="el-GR"/>
        </w:rPr>
        <w:t>2.</w:t>
      </w:r>
      <w:r w:rsidRPr="005C01FC">
        <w:rPr>
          <w:rFonts w:ascii="Calibri" w:hAnsi="Calibri"/>
          <w:lang w:val="el-GR"/>
        </w:rPr>
        <w:t xml:space="preserve"> Το κατώτατο όριο σύνταξης δεν έχει εφαρμογή για όσους έχουν αποχωρήσει  ή αποχωρούν από την Υπηρεσία από 1/7/2015 κα</w:t>
      </w:r>
      <w:r w:rsidRPr="005C01FC">
        <w:rPr>
          <w:rFonts w:ascii="Calibri" w:hAnsi="Calibri"/>
          <w:lang w:val="el-GR"/>
        </w:rPr>
        <w:t>ι μετά και δεν έχουν συμπληρώσει το 67ο έτος της ηλικίας. Τα ανωτέρω πρόσωπα μέχρι τη συμπλήρωση του 67ου έτους της ηλικίας λαμβάνουν το ποσό της σύνταξης που αναλογεί στα έτη ασφάλισής τους κατά περίπτωση.</w:t>
      </w:r>
    </w:p>
    <w:p w:rsidR="00076690" w:rsidRPr="005C01FC" w:rsidRDefault="00572D9A">
      <w:pPr>
        <w:pStyle w:val="Standard"/>
        <w:spacing w:line="360" w:lineRule="auto"/>
        <w:jc w:val="both"/>
        <w:rPr>
          <w:lang w:val="el-GR"/>
        </w:rPr>
      </w:pPr>
      <w:r w:rsidRPr="005C01FC">
        <w:rPr>
          <w:rFonts w:ascii="Calibri" w:hAnsi="Calibri"/>
          <w:b/>
          <w:bCs/>
          <w:lang w:val="el-GR"/>
        </w:rPr>
        <w:t xml:space="preserve">3. </w:t>
      </w:r>
      <w:r w:rsidRPr="005C01FC">
        <w:rPr>
          <w:rFonts w:ascii="Calibri" w:hAnsi="Calibri"/>
          <w:lang w:val="el-GR"/>
        </w:rPr>
        <w:t>Στις περιπτώσεις μειωμένης σύνταξης, το συνολι</w:t>
      </w:r>
      <w:r w:rsidRPr="005C01FC">
        <w:rPr>
          <w:rFonts w:ascii="Calibri" w:hAnsi="Calibri"/>
          <w:lang w:val="el-GR"/>
        </w:rPr>
        <w:t>κό ποσοστό της μείωσης (υπολογιζόμενο κατά 0,5% για κάθε μήνα που απέχει από τη συμπλήρωση του ορίου ηλικίας πλήρους συνταξιοδότησης) προσαυξάνεται κατά 10% και μέχρι τη συμπλήρωση του κατά τα ανωτέρω προβλεπόμενου νέου ορίου ηλικίας συνταξιοδότησης.</w:t>
      </w:r>
    </w:p>
    <w:p w:rsidR="00076690" w:rsidRPr="005C01FC" w:rsidRDefault="00076690">
      <w:pPr>
        <w:pStyle w:val="Standard"/>
        <w:spacing w:line="360" w:lineRule="auto"/>
        <w:jc w:val="both"/>
        <w:rPr>
          <w:rFonts w:ascii="Calibri" w:hAnsi="Calibri"/>
          <w:lang w:val="el-GR"/>
        </w:rPr>
      </w:pPr>
    </w:p>
    <w:p w:rsidR="00076690" w:rsidRPr="005C01FC" w:rsidRDefault="00076690">
      <w:pPr>
        <w:pStyle w:val="Standard"/>
        <w:spacing w:line="360" w:lineRule="auto"/>
        <w:jc w:val="both"/>
        <w:rPr>
          <w:rFonts w:ascii="Calibri" w:hAnsi="Calibri"/>
          <w:lang w:val="el-GR"/>
        </w:rPr>
      </w:pPr>
    </w:p>
    <w:p w:rsidR="00076690" w:rsidRPr="005C01FC" w:rsidRDefault="00076690">
      <w:pPr>
        <w:pStyle w:val="Standard"/>
        <w:spacing w:line="360" w:lineRule="auto"/>
        <w:jc w:val="both"/>
        <w:rPr>
          <w:rFonts w:ascii="Calibri" w:hAnsi="Calibri"/>
          <w:lang w:val="el-GR"/>
        </w:rPr>
      </w:pPr>
    </w:p>
    <w:p w:rsidR="00076690" w:rsidRPr="005C01FC" w:rsidRDefault="00076690">
      <w:pPr>
        <w:pStyle w:val="Standard"/>
        <w:spacing w:line="360" w:lineRule="auto"/>
        <w:jc w:val="both"/>
        <w:rPr>
          <w:rFonts w:ascii="Calibri" w:hAnsi="Calibri"/>
          <w:lang w:val="el-GR"/>
        </w:rPr>
      </w:pPr>
    </w:p>
    <w:p w:rsidR="00076690" w:rsidRPr="005C01FC" w:rsidRDefault="00076690">
      <w:pPr>
        <w:pStyle w:val="Standard"/>
        <w:spacing w:line="360" w:lineRule="auto"/>
        <w:jc w:val="both"/>
        <w:rPr>
          <w:rFonts w:ascii="Calibri" w:hAnsi="Calibri"/>
          <w:lang w:val="el-GR"/>
        </w:rPr>
      </w:pPr>
    </w:p>
    <w:p w:rsidR="00076690" w:rsidRPr="005C01FC" w:rsidRDefault="00076690">
      <w:pPr>
        <w:pStyle w:val="Standard"/>
        <w:spacing w:line="360" w:lineRule="auto"/>
        <w:jc w:val="both"/>
        <w:rPr>
          <w:rFonts w:ascii="Calibri" w:hAnsi="Calibri"/>
          <w:lang w:val="el-GR"/>
        </w:rPr>
      </w:pPr>
    </w:p>
    <w:p w:rsidR="00076690" w:rsidRPr="005C01FC" w:rsidRDefault="00076690">
      <w:pPr>
        <w:pStyle w:val="Standard"/>
        <w:tabs>
          <w:tab w:val="left" w:pos="10035"/>
          <w:tab w:val="right" w:pos="10773"/>
        </w:tabs>
        <w:spacing w:line="360" w:lineRule="auto"/>
        <w:ind w:firstLine="360"/>
        <w:jc w:val="center"/>
        <w:rPr>
          <w:rFonts w:ascii="Calibri" w:hAnsi="Calibri" w:cs="Tahoma"/>
          <w:iCs/>
          <w:lang w:val="el-GR"/>
        </w:rPr>
      </w:pPr>
    </w:p>
    <w:sectPr w:rsidR="00076690" w:rsidRPr="005C01F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9A" w:rsidRDefault="00572D9A">
      <w:r>
        <w:separator/>
      </w:r>
    </w:p>
  </w:endnote>
  <w:endnote w:type="continuationSeparator" w:id="0">
    <w:p w:rsidR="00572D9A" w:rsidRDefault="0057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9A" w:rsidRDefault="00572D9A">
      <w:r>
        <w:rPr>
          <w:color w:val="000000"/>
        </w:rPr>
        <w:separator/>
      </w:r>
    </w:p>
  </w:footnote>
  <w:footnote w:type="continuationSeparator" w:id="0">
    <w:p w:rsidR="00572D9A" w:rsidRDefault="00572D9A">
      <w:r>
        <w:continuationSeparator/>
      </w:r>
    </w:p>
  </w:footnote>
  <w:footnote w:id="1">
    <w:p w:rsidR="00076690" w:rsidRPr="005C01FC" w:rsidRDefault="00572D9A">
      <w:pPr>
        <w:pStyle w:val="FootnoteText"/>
        <w:jc w:val="both"/>
        <w:rPr>
          <w:rFonts w:ascii="Calibri" w:hAnsi="Calibri"/>
          <w:lang w:val="el-GR"/>
        </w:rPr>
      </w:pPr>
      <w:r>
        <w:rPr>
          <w:rStyle w:val="FootnoteReference"/>
        </w:rPr>
        <w:footnoteRef/>
      </w:r>
      <w:r w:rsidRPr="005C01FC">
        <w:rPr>
          <w:rFonts w:ascii="Calibri" w:hAnsi="Calibri"/>
          <w:lang w:val="el-GR"/>
        </w:rPr>
        <w:t>Ή τον</w:t>
      </w:r>
      <w:r w:rsidRPr="005C01FC">
        <w:rPr>
          <w:rFonts w:ascii="Calibri" w:hAnsi="Calibri"/>
          <w:lang w:val="el-GR"/>
        </w:rPr>
        <w:t xml:space="preserve"> χρόνο ασφάλισης που απαιτούσαν ειδικές διατάξεις (π.χ. για τους τρίτεκνους-πολύτεκνους την  20ετία).</w:t>
      </w:r>
    </w:p>
  </w:footnote>
  <w:footnote w:id="2">
    <w:p w:rsidR="00076690" w:rsidRPr="005C01FC" w:rsidRDefault="00572D9A">
      <w:pPr>
        <w:pStyle w:val="HTMLPreformatted"/>
        <w:jc w:val="both"/>
        <w:rPr>
          <w:rFonts w:ascii="Calibri" w:hAnsi="Calibri"/>
          <w:lang w:val="el-GR"/>
        </w:rPr>
      </w:pPr>
      <w:r>
        <w:rPr>
          <w:rStyle w:val="FootnoteReference"/>
        </w:rPr>
        <w:footnoteRef/>
      </w:r>
      <w:r w:rsidRPr="005C01FC">
        <w:rPr>
          <w:rFonts w:ascii="Calibri" w:hAnsi="Calibri"/>
          <w:lang w:val="el-GR"/>
        </w:rPr>
        <w:t>Υπάλληλοι που απολύονται από την υπηρεσία λόγω σωματικής ή διανοητικής ανικανότητας, είτε αυτή οφείλεται στην υπηρεσία είτε όχι, υπάλληλοι τυφλοί-παραπληγικοί-πάσχοντες από μεσογειακή αναιμία κ.λπ. [άρθρο 1 παρ. 1 (α) προτελευταίο εδάφιο</w:t>
      </w:r>
      <w:r w:rsidRPr="005C01FC">
        <w:rPr>
          <w:rFonts w:ascii="Calibri" w:hAnsi="Calibri"/>
          <w:lang w:val="el-GR"/>
        </w:rPr>
        <w:t xml:space="preserve"> ΠΔ 169/2007], φυλακτικό προσωπικό των καταστημάτων κράτησης.</w:t>
      </w:r>
    </w:p>
    <w:p w:rsidR="00076690" w:rsidRPr="005C01FC" w:rsidRDefault="00076690">
      <w:pPr>
        <w:pStyle w:val="HTMLPreformatted"/>
        <w:jc w:val="both"/>
        <w:rPr>
          <w:rFonts w:ascii="Calibri" w:hAnsi="Calibri"/>
          <w:lang w:val="el-GR"/>
        </w:rPr>
      </w:pPr>
    </w:p>
    <w:p w:rsidR="00076690" w:rsidRPr="005C01FC" w:rsidRDefault="00076690">
      <w:pPr>
        <w:pStyle w:val="FootnoteText"/>
        <w:rPr>
          <w:lang w:val="el-G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C36EE"/>
    <w:multiLevelType w:val="multilevel"/>
    <w:tmpl w:val="2E6C2AE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3ABD12DC"/>
    <w:multiLevelType w:val="multilevel"/>
    <w:tmpl w:val="501A4B06"/>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5CE50B21"/>
    <w:multiLevelType w:val="multilevel"/>
    <w:tmpl w:val="6192A43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6E56319A"/>
    <w:multiLevelType w:val="multilevel"/>
    <w:tmpl w:val="30442B3E"/>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0"/>
  </w:num>
  <w:num w:numId="2">
    <w:abstractNumId w:val="3"/>
  </w:num>
  <w:num w:numId="3">
    <w:abstractNumId w:val="1"/>
  </w:num>
  <w:num w:numId="4">
    <w:abstractNumId w:val="2"/>
  </w:num>
  <w:num w:numId="5">
    <w:abstractNumId w:val="0"/>
    <w:lvlOverride w:ilvl="0">
      <w:startOverride w:val="1"/>
    </w:lvlOverride>
  </w:num>
  <w:num w:numId="6">
    <w:abstractNumId w:val="3"/>
    <w:lvlOverride w:ilvl="0"/>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76690"/>
    <w:rsid w:val="00076690"/>
    <w:rsid w:val="00572D9A"/>
    <w:rsid w:val="005C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customStyle="1" w:styleId="Footnote">
    <w:name w:val="Footnote"/>
    <w:basedOn w:val="Standard"/>
    <w:pPr>
      <w:suppressLineNumbers/>
      <w:ind w:left="283" w:hanging="283"/>
    </w:pPr>
    <w:rPr>
      <w:sz w:val="20"/>
      <w:szCs w:val="20"/>
    </w:rPr>
  </w:style>
  <w:style w:type="paragraph" w:styleId="FootnoteText">
    <w:name w:val="footnote text"/>
    <w:basedOn w:val="Standard"/>
    <w:rPr>
      <w:sz w:val="20"/>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styleId="FootnoteReference">
    <w:name w:val="footnote reference"/>
    <w:basedOn w:val="DefaultParagraphFont"/>
    <w:rPr>
      <w:position w:val="0"/>
      <w:vertAlign w:val="superscript"/>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6">
    <w:name w:val="WWNum6"/>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customStyle="1" w:styleId="Footnote">
    <w:name w:val="Footnote"/>
    <w:basedOn w:val="Standard"/>
    <w:pPr>
      <w:suppressLineNumbers/>
      <w:ind w:left="283" w:hanging="283"/>
    </w:pPr>
    <w:rPr>
      <w:sz w:val="20"/>
      <w:szCs w:val="20"/>
    </w:rPr>
  </w:style>
  <w:style w:type="paragraph" w:styleId="FootnoteText">
    <w:name w:val="footnote text"/>
    <w:basedOn w:val="Standard"/>
    <w:rPr>
      <w:sz w:val="20"/>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styleId="FootnoteReference">
    <w:name w:val="footnote reference"/>
    <w:basedOn w:val="DefaultParagraphFont"/>
    <w:rPr>
      <w:position w:val="0"/>
      <w:vertAlign w:val="superscript"/>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6">
    <w:name w:val="WWNum6"/>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Μπάμπης Χαραλαμπίδης</dc:creator>
  <cp:lastModifiedBy>Georgia</cp:lastModifiedBy>
  <cp:revision>1</cp:revision>
  <dcterms:created xsi:type="dcterms:W3CDTF">2015-10-08T13:02:00Z</dcterms:created>
  <dcterms:modified xsi:type="dcterms:W3CDTF">2015-10-08T12:44:00Z</dcterms:modified>
</cp:coreProperties>
</file>